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Theme="minorHAnsi" w:hAnsiTheme="minorHAnsi" w:cstheme="minorHAnsi"/>
          <w:b/>
        </w:rPr>
      </w:pPr>
      <w:r>
        <w:rPr>
          <w:b/>
        </w:rPr>
        <w:t xml:space="preserve">                                                                                                                                                                                                                                                                                                                                                                                                                                                                                                                                                                                                                                                                                                                                                                                                                                                                                                                                                                                                                                                                                                                                                                                                                                                                                                                                                                                                                                                                                                                                                                                                                                                                                                                                                                                                                                                                                                                                                                                                                                                                                                                                                                                                                                                                                                                                                                                                                                                                                                                                                                                                                                                                                                                                                                                                                                                                                                                                                                                                                                                                                                                                                                                                                                                                                                                                                                                                                                                                                                                                                                                                                                                                                                                                                                                                                                                                                                                                                                                                                                                                                                                                                                                                                                                                                                                                                                                                                                                                                                                                                                                                                                                                                                                                                                                                                                                                                                                                                                                                    </w:t>
      </w:r>
      <w:r>
        <w:rPr>
          <w:rFonts w:asciiTheme="minorHAnsi" w:hAnsiTheme="minorHAnsi" w:cstheme="minorHAnsi"/>
          <w:b/>
        </w:rPr>
        <w:t>PLAN DE TRABAJO DE SUPERVISIÓN A LAS COMISARÍAS BÁSICAS Y LA ATENCIÓN DE CASOS DE VIOLENCIA CONTRA LAS MUJERES</w:t>
      </w:r>
    </w:p>
    <w:p>
      <w:pPr>
        <w:numPr>
          <w:ilvl w:val="0"/>
          <w:numId w:val="1"/>
        </w:numPr>
        <w:pBdr>
          <w:top w:val="nil"/>
          <w:left w:val="nil"/>
          <w:bottom w:val="nil"/>
          <w:right w:val="nil"/>
          <w:between w:val="nil"/>
        </w:pBdr>
        <w:spacing w:after="0"/>
        <w:ind w:left="0"/>
        <w:rPr>
          <w:rFonts w:asciiTheme="minorHAnsi" w:hAnsiTheme="minorHAnsi" w:cstheme="minorHAnsi"/>
          <w:b/>
          <w:color w:val="000000"/>
        </w:rPr>
      </w:pPr>
      <w:r>
        <w:rPr>
          <w:rFonts w:asciiTheme="minorHAnsi" w:hAnsiTheme="minorHAnsi" w:cstheme="minorHAnsi"/>
          <w:b/>
          <w:color w:val="000000"/>
        </w:rPr>
        <w:t>Planteamiento de problema e identificación de derechos vulnerados.-</w:t>
      </w:r>
    </w:p>
    <w:p>
      <w:pPr>
        <w:pBdr>
          <w:top w:val="nil"/>
          <w:left w:val="nil"/>
          <w:bottom w:val="nil"/>
          <w:right w:val="nil"/>
          <w:between w:val="nil"/>
        </w:pBdr>
        <w:spacing w:after="0"/>
        <w:ind w:left="0" w:firstLine="0"/>
        <w:rPr>
          <w:rFonts w:asciiTheme="minorHAnsi" w:hAnsiTheme="minorHAnsi" w:cstheme="minorHAnsi"/>
          <w:b/>
          <w:color w:val="000000"/>
        </w:rPr>
      </w:pPr>
    </w:p>
    <w:p>
      <w:pPr>
        <w:pStyle w:val="Pa7"/>
        <w:spacing w:after="200"/>
        <w:jc w:val="both"/>
        <w:rPr>
          <w:rFonts w:asciiTheme="minorHAnsi" w:hAnsiTheme="minorHAnsi" w:cstheme="minorHAnsi"/>
          <w:sz w:val="22"/>
          <w:szCs w:val="22"/>
        </w:rPr>
      </w:pPr>
      <w:r>
        <w:rPr>
          <w:rFonts w:asciiTheme="minorHAnsi" w:hAnsiTheme="minorHAnsi" w:cstheme="minorHAnsi"/>
          <w:sz w:val="22"/>
          <w:szCs w:val="22"/>
        </w:rPr>
        <w:t xml:space="preserve">En los últimos años, el reconocimiento de las desapariciones de mujeres por acción de particulares, junto con otras formas extremas de violencia como el feminicidio, la trata de mujeres, adolescentes y niñas, y la violencia sexual ha logrado obtener un panorama más claro sobre la gravedad de esta problemática en nuestra sociedad. </w:t>
      </w:r>
    </w:p>
    <w:p>
      <w:pPr>
        <w:pStyle w:val="Pa7"/>
        <w:spacing w:after="200"/>
        <w:jc w:val="both"/>
        <w:rPr>
          <w:rFonts w:asciiTheme="minorHAnsi" w:hAnsiTheme="minorHAnsi" w:cstheme="minorHAnsi"/>
          <w:sz w:val="22"/>
          <w:szCs w:val="22"/>
        </w:rPr>
      </w:pPr>
      <w:r>
        <w:rPr>
          <w:rFonts w:asciiTheme="minorHAnsi" w:hAnsiTheme="minorHAnsi" w:cstheme="minorHAnsi"/>
          <w:sz w:val="22"/>
          <w:szCs w:val="22"/>
        </w:rPr>
        <w:t xml:space="preserve">La frecuencia alarmante con la que se registran estos casos, ha colocado este tema como una prioridad en la agenda </w:t>
      </w:r>
      <w:proofErr w:type="spellStart"/>
      <w:r>
        <w:rPr>
          <w:rFonts w:asciiTheme="minorHAnsi" w:hAnsiTheme="minorHAnsi" w:cstheme="minorHAnsi"/>
          <w:sz w:val="22"/>
          <w:szCs w:val="22"/>
        </w:rPr>
        <w:t>defensorial</w:t>
      </w:r>
      <w:proofErr w:type="spellEnd"/>
      <w:r>
        <w:rPr>
          <w:rFonts w:asciiTheme="minorHAnsi" w:hAnsiTheme="minorHAnsi" w:cstheme="minorHAnsi"/>
          <w:sz w:val="22"/>
          <w:szCs w:val="22"/>
        </w:rPr>
        <w:t xml:space="preserve"> del Perú. Así, según el Registro Nacional de Información de Personas Desaparecidas (</w:t>
      </w:r>
      <w:proofErr w:type="spellStart"/>
      <w:r>
        <w:rPr>
          <w:rFonts w:asciiTheme="minorHAnsi" w:hAnsiTheme="minorHAnsi" w:cstheme="minorHAnsi"/>
          <w:sz w:val="22"/>
          <w:szCs w:val="22"/>
        </w:rPr>
        <w:t>Reniped</w:t>
      </w:r>
      <w:proofErr w:type="spellEnd"/>
      <w:r>
        <w:rPr>
          <w:rFonts w:asciiTheme="minorHAnsi" w:hAnsiTheme="minorHAnsi" w:cstheme="minorHAnsi"/>
          <w:sz w:val="22"/>
          <w:szCs w:val="22"/>
        </w:rPr>
        <w:t>)</w:t>
      </w:r>
      <w:r>
        <w:rPr>
          <w:rStyle w:val="Refdenotaalpie"/>
          <w:rFonts w:asciiTheme="minorHAnsi" w:hAnsiTheme="minorHAnsi" w:cstheme="minorHAnsi"/>
          <w:sz w:val="22"/>
          <w:szCs w:val="22"/>
        </w:rPr>
        <w:footnoteReference w:id="1"/>
      </w:r>
      <w:r>
        <w:rPr>
          <w:rFonts w:asciiTheme="minorHAnsi" w:hAnsiTheme="minorHAnsi" w:cstheme="minorHAnsi"/>
          <w:sz w:val="22"/>
          <w:szCs w:val="22"/>
        </w:rPr>
        <w:t xml:space="preserve">, durante el 2024 se registraron 10278 mujeres desaparecidas, de las cuales solo 5,507 fueron ubicadas. </w:t>
      </w:r>
    </w:p>
    <w:p>
      <w:pPr>
        <w:pStyle w:val="Pa7"/>
        <w:spacing w:after="200"/>
        <w:jc w:val="both"/>
        <w:rPr>
          <w:rFonts w:asciiTheme="minorHAnsi" w:hAnsiTheme="minorHAnsi" w:cstheme="minorHAnsi"/>
          <w:sz w:val="22"/>
          <w:szCs w:val="22"/>
        </w:rPr>
      </w:pPr>
      <w:r>
        <w:rPr>
          <w:rFonts w:asciiTheme="minorHAnsi" w:hAnsiTheme="minorHAnsi" w:cstheme="minorHAnsi"/>
          <w:sz w:val="22"/>
          <w:szCs w:val="22"/>
        </w:rPr>
        <w:t xml:space="preserve">Frente a esta situación, los Estados tienen la obligación jurídica de garantizar los derechos fundamentales de las personas víctimas de desaparición y, de forma particular, de las mujeres que se encuentran en tal situación por motivos basados en la discriminación por razones de género. </w:t>
      </w:r>
    </w:p>
    <w:p>
      <w:pPr>
        <w:pStyle w:val="Pa7"/>
        <w:spacing w:after="200"/>
        <w:jc w:val="both"/>
        <w:rPr>
          <w:rFonts w:asciiTheme="minorHAnsi" w:hAnsiTheme="minorHAnsi" w:cstheme="minorHAnsi"/>
          <w:sz w:val="22"/>
          <w:szCs w:val="22"/>
        </w:rPr>
      </w:pPr>
      <w:r>
        <w:rPr>
          <w:rFonts w:asciiTheme="minorHAnsi" w:hAnsiTheme="minorHAnsi" w:cstheme="minorHAnsi"/>
          <w:sz w:val="22"/>
          <w:szCs w:val="22"/>
        </w:rPr>
        <w:t>Es así que constituyen obligaciones por parte del Estado, aquellas relativas al respeto y garantía del derecho a la igualdad de género y no discriminación, y la consecuente obligación de prevenir cualquier forma de violencia contra la mujer. Estos mandatos derivan de la Convención sobre la Eliminación de todas las Formas de Discriminación contra la Mujer (</w:t>
      </w:r>
      <w:proofErr w:type="spellStart"/>
      <w:r>
        <w:rPr>
          <w:rFonts w:asciiTheme="minorHAnsi" w:hAnsiTheme="minorHAnsi" w:cstheme="minorHAnsi"/>
          <w:sz w:val="22"/>
          <w:szCs w:val="22"/>
        </w:rPr>
        <w:t>Cedaw</w:t>
      </w:r>
      <w:proofErr w:type="spellEnd"/>
      <w:r>
        <w:rPr>
          <w:rFonts w:asciiTheme="minorHAnsi" w:hAnsiTheme="minorHAnsi" w:cstheme="minorHAnsi"/>
          <w:sz w:val="22"/>
          <w:szCs w:val="22"/>
        </w:rPr>
        <w:t xml:space="preserve">), la </w:t>
      </w:r>
      <w:proofErr w:type="spellStart"/>
      <w:r>
        <w:rPr>
          <w:rFonts w:asciiTheme="minorHAnsi" w:hAnsiTheme="minorHAnsi" w:cstheme="minorHAnsi"/>
          <w:sz w:val="22"/>
          <w:szCs w:val="22"/>
        </w:rPr>
        <w:t>Convención</w:t>
      </w:r>
      <w:proofErr w:type="spellEnd"/>
      <w:r>
        <w:rPr>
          <w:rFonts w:asciiTheme="minorHAnsi" w:hAnsiTheme="minorHAnsi" w:cstheme="minorHAnsi"/>
          <w:sz w:val="22"/>
          <w:szCs w:val="22"/>
        </w:rPr>
        <w:t xml:space="preserve"> Interamericana para Prevenir, Sancionar y Erradicar la Violencia Contra la Mujer (</w:t>
      </w:r>
      <w:proofErr w:type="spellStart"/>
      <w:r>
        <w:rPr>
          <w:rFonts w:asciiTheme="minorHAnsi" w:hAnsiTheme="minorHAnsi" w:cstheme="minorHAnsi"/>
          <w:sz w:val="22"/>
          <w:szCs w:val="22"/>
        </w:rPr>
        <w:t>Belém</w:t>
      </w:r>
      <w:proofErr w:type="spellEnd"/>
      <w:r>
        <w:rPr>
          <w:rFonts w:asciiTheme="minorHAnsi" w:hAnsiTheme="minorHAnsi" w:cstheme="minorHAnsi"/>
          <w:sz w:val="22"/>
          <w:szCs w:val="22"/>
        </w:rPr>
        <w:t xml:space="preserve"> do Pará) y la Declaración y la Plataforma de Acción de la Cuarta Conferencia Mundial sobre la Mujer (Beijing, 1995), además de lo establecido en la legislación nacional en cada país. </w:t>
      </w:r>
    </w:p>
    <w:p>
      <w:pPr>
        <w:numPr>
          <w:ilvl w:val="0"/>
          <w:numId w:val="1"/>
        </w:numPr>
        <w:pBdr>
          <w:top w:val="nil"/>
          <w:left w:val="nil"/>
          <w:bottom w:val="nil"/>
          <w:right w:val="nil"/>
          <w:between w:val="nil"/>
        </w:pBdr>
        <w:spacing w:after="0"/>
        <w:ind w:left="0"/>
        <w:rPr>
          <w:rFonts w:asciiTheme="minorHAnsi" w:hAnsiTheme="minorHAnsi" w:cstheme="minorHAnsi"/>
          <w:b/>
          <w:color w:val="000000"/>
        </w:rPr>
      </w:pPr>
      <w:r>
        <w:rPr>
          <w:rFonts w:asciiTheme="minorHAnsi" w:hAnsiTheme="minorHAnsi" w:cstheme="minorHAnsi"/>
          <w:b/>
          <w:color w:val="000000"/>
        </w:rPr>
        <w:t xml:space="preserve">Objetivos </w:t>
      </w:r>
    </w:p>
    <w:p>
      <w:pPr>
        <w:pBdr>
          <w:top w:val="nil"/>
          <w:left w:val="nil"/>
          <w:bottom w:val="nil"/>
          <w:right w:val="nil"/>
          <w:between w:val="nil"/>
        </w:pBdr>
        <w:spacing w:after="0"/>
        <w:ind w:left="0" w:firstLine="0"/>
        <w:rPr>
          <w:rFonts w:asciiTheme="minorHAnsi" w:hAnsiTheme="minorHAnsi" w:cstheme="minorHAnsi"/>
          <w:b/>
          <w:color w:val="000000"/>
        </w:rPr>
      </w:pPr>
    </w:p>
    <w:p>
      <w:pPr>
        <w:pStyle w:val="Prrafodelista"/>
        <w:numPr>
          <w:ilvl w:val="1"/>
          <w:numId w:val="1"/>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Objetivo General</w:t>
      </w:r>
    </w:p>
    <w:p>
      <w:pPr>
        <w:pStyle w:val="Prrafodelista"/>
        <w:pBdr>
          <w:top w:val="nil"/>
          <w:left w:val="nil"/>
          <w:bottom w:val="nil"/>
          <w:right w:val="nil"/>
          <w:between w:val="nil"/>
        </w:pBdr>
        <w:spacing w:after="0"/>
        <w:ind w:left="1425" w:firstLine="0"/>
        <w:rPr>
          <w:rFonts w:asciiTheme="minorHAnsi" w:hAnsiTheme="minorHAnsi" w:cstheme="minorHAnsi"/>
          <w:b/>
          <w:color w:val="000000"/>
        </w:rPr>
      </w:pPr>
    </w:p>
    <w:p>
      <w:pPr>
        <w:pStyle w:val="Prrafodelista"/>
        <w:numPr>
          <w:ilvl w:val="0"/>
          <w:numId w:val="4"/>
        </w:numPr>
        <w:pBdr>
          <w:top w:val="nil"/>
          <w:left w:val="nil"/>
          <w:bottom w:val="nil"/>
          <w:right w:val="nil"/>
          <w:between w:val="nil"/>
        </w:pBdr>
        <w:spacing w:after="0"/>
        <w:rPr>
          <w:rFonts w:asciiTheme="minorHAnsi" w:hAnsiTheme="minorHAnsi" w:cstheme="minorHAnsi"/>
        </w:rPr>
      </w:pPr>
      <w:r>
        <w:rPr>
          <w:rFonts w:asciiTheme="minorHAnsi" w:hAnsiTheme="minorHAnsi" w:cstheme="minorHAnsi"/>
        </w:rPr>
        <w:t xml:space="preserve">Identificar los puntos críticos en </w:t>
      </w:r>
      <w:r>
        <w:rPr>
          <w:rFonts w:asciiTheme="minorHAnsi" w:hAnsiTheme="minorHAnsi" w:cstheme="minorHAnsi"/>
        </w:rPr>
        <w:t>el marco normativo vigente</w:t>
      </w:r>
      <w:r>
        <w:rPr>
          <w:rFonts w:asciiTheme="minorHAnsi" w:hAnsiTheme="minorHAnsi" w:cstheme="minorHAnsi"/>
        </w:rPr>
        <w:t xml:space="preserve"> en relación con la desaparición de mujeres por acción de particulares, a fin de contribuir a la prevención y atención adecuada</w:t>
      </w:r>
      <w:r>
        <w:rPr>
          <w:rFonts w:asciiTheme="minorHAnsi" w:hAnsiTheme="minorHAnsi" w:cstheme="minorHAnsi"/>
        </w:rPr>
        <w:t xml:space="preserve"> de estos casos; y evitar de esta manera que se produzcan nuevos casos de feminicidio y trata de personas.</w:t>
      </w:r>
    </w:p>
    <w:p>
      <w:pPr>
        <w:pBdr>
          <w:top w:val="nil"/>
          <w:left w:val="nil"/>
          <w:bottom w:val="nil"/>
          <w:right w:val="nil"/>
          <w:between w:val="nil"/>
        </w:pBdr>
        <w:spacing w:after="0"/>
        <w:rPr>
          <w:rFonts w:asciiTheme="minorHAnsi" w:hAnsiTheme="minorHAnsi" w:cstheme="minorHAnsi"/>
        </w:rPr>
      </w:pPr>
    </w:p>
    <w:p>
      <w:pPr>
        <w:pStyle w:val="Prrafodelista"/>
        <w:numPr>
          <w:ilvl w:val="1"/>
          <w:numId w:val="1"/>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Objetivos específicos</w:t>
      </w:r>
    </w:p>
    <w:p>
      <w:pPr>
        <w:pBdr>
          <w:top w:val="nil"/>
          <w:left w:val="nil"/>
          <w:bottom w:val="nil"/>
          <w:right w:val="nil"/>
          <w:between w:val="nil"/>
        </w:pBdr>
        <w:spacing w:after="0"/>
        <w:rPr>
          <w:rFonts w:asciiTheme="minorHAnsi" w:hAnsiTheme="minorHAnsi" w:cstheme="minorHAnsi"/>
          <w:color w:val="000000"/>
        </w:rPr>
      </w:pPr>
    </w:p>
    <w:p>
      <w:pPr>
        <w:pStyle w:val="Prrafodelista"/>
        <w:numPr>
          <w:ilvl w:val="0"/>
          <w:numId w:val="4"/>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 xml:space="preserve">Analizar la situación de las mujeres desaparecidas en cada uno de los países integrantes, así como la respuesta de cada uno de los Estados desde los diferentes niveles de gobierno.  </w:t>
      </w:r>
    </w:p>
    <w:p>
      <w:pPr>
        <w:pBdr>
          <w:top w:val="nil"/>
          <w:left w:val="nil"/>
          <w:bottom w:val="nil"/>
          <w:right w:val="nil"/>
          <w:between w:val="nil"/>
        </w:pBdr>
        <w:spacing w:after="0"/>
        <w:ind w:left="345" w:firstLine="0"/>
        <w:rPr>
          <w:rFonts w:asciiTheme="minorHAnsi" w:hAnsiTheme="minorHAnsi" w:cstheme="minorHAnsi"/>
          <w:color w:val="000000"/>
        </w:rPr>
      </w:pPr>
    </w:p>
    <w:p>
      <w:pPr>
        <w:pStyle w:val="Prrafodelista"/>
        <w:numPr>
          <w:ilvl w:val="0"/>
          <w:numId w:val="4"/>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Identificar los aspectos que deban fortalecerse para mejorar la calidad en la atención de las denuncias de mujeres desaparecidas y en la ubicación de las mismas.</w:t>
      </w:r>
    </w:p>
    <w:p>
      <w:pPr>
        <w:pBdr>
          <w:top w:val="nil"/>
          <w:left w:val="nil"/>
          <w:bottom w:val="nil"/>
          <w:right w:val="nil"/>
          <w:between w:val="nil"/>
        </w:pBdr>
        <w:spacing w:after="0"/>
        <w:ind w:left="0" w:firstLine="0"/>
        <w:rPr>
          <w:rFonts w:asciiTheme="minorHAnsi" w:hAnsiTheme="minorHAnsi" w:cstheme="minorHAnsi"/>
          <w:color w:val="000000"/>
        </w:rPr>
      </w:pPr>
    </w:p>
    <w:p>
      <w:pPr>
        <w:numPr>
          <w:ilvl w:val="0"/>
          <w:numId w:val="1"/>
        </w:numPr>
        <w:pBdr>
          <w:top w:val="nil"/>
          <w:left w:val="nil"/>
          <w:bottom w:val="nil"/>
          <w:right w:val="nil"/>
          <w:between w:val="nil"/>
        </w:pBdr>
        <w:spacing w:after="0"/>
        <w:ind w:left="0"/>
        <w:rPr>
          <w:rFonts w:asciiTheme="minorHAnsi" w:hAnsiTheme="minorHAnsi" w:cstheme="minorHAnsi"/>
          <w:b/>
          <w:color w:val="000000"/>
        </w:rPr>
      </w:pPr>
      <w:bookmarkStart w:id="0" w:name="_heading=h.gjdgxs" w:colFirst="0" w:colLast="0"/>
      <w:bookmarkEnd w:id="0"/>
      <w:r>
        <w:rPr>
          <w:rFonts w:asciiTheme="minorHAnsi" w:hAnsiTheme="minorHAnsi" w:cstheme="minorHAnsi"/>
          <w:b/>
          <w:color w:val="000000"/>
        </w:rPr>
        <w:t>Metodología</w:t>
      </w:r>
    </w:p>
    <w:p>
      <w:pPr>
        <w:pStyle w:val="Prrafodelista"/>
        <w:numPr>
          <w:ilvl w:val="0"/>
          <w:numId w:val="5"/>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lastRenderedPageBreak/>
        <w:t xml:space="preserve">Búsqueda de bases de datos oficiales sobre mujeres desaparecidas, así como de aquellas que han sido ubicadas. </w:t>
      </w:r>
    </w:p>
    <w:p>
      <w:pPr>
        <w:pStyle w:val="Prrafodelista"/>
        <w:numPr>
          <w:ilvl w:val="0"/>
          <w:numId w:val="5"/>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 xml:space="preserve">Identificar si las bases de datos incluyen la siguiente información: sexo de la víctima, edad, estado civil, ocupación, si era víctima de violencia por parte de su pareja u alguna otra persona de su entorno, si era víctima de acoso sexual o laboral, si había denunciado alguna forma de violencia perpetrada en su contra, información sobre sus redes sociales, si fue hallada, situación en la que fue hallada, tiempo que estuvo desaparecida, vínculo con la persona que denuncio su desaparición, tiempo entre su desaparición y la denuncia, y cualquier otro dato que se considere relevante de acuerdo con el contexto. </w:t>
      </w:r>
    </w:p>
    <w:p>
      <w:pPr>
        <w:pStyle w:val="Prrafodelista"/>
        <w:numPr>
          <w:ilvl w:val="0"/>
          <w:numId w:val="5"/>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Identificación y entrevista a actores clave sobre la problemática de las mujeres desaparecidas en su país.</w:t>
      </w:r>
    </w:p>
    <w:p>
      <w:pPr>
        <w:pStyle w:val="Prrafodelista"/>
        <w:numPr>
          <w:ilvl w:val="0"/>
          <w:numId w:val="5"/>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Si es posible, identificar uno o dos casos emblemáticos en cada país a fin de analizar la respuesta dada por el Estado.</w:t>
      </w:r>
    </w:p>
    <w:p>
      <w:pPr>
        <w:pBdr>
          <w:top w:val="nil"/>
          <w:left w:val="nil"/>
          <w:bottom w:val="nil"/>
          <w:right w:val="nil"/>
          <w:between w:val="nil"/>
        </w:pBdr>
        <w:spacing w:after="0"/>
        <w:ind w:left="0" w:firstLine="0"/>
        <w:rPr>
          <w:rFonts w:asciiTheme="minorHAnsi" w:hAnsiTheme="minorHAnsi" w:cstheme="minorHAnsi"/>
          <w:color w:val="000000"/>
        </w:rPr>
      </w:pPr>
    </w:p>
    <w:p>
      <w:pPr>
        <w:numPr>
          <w:ilvl w:val="0"/>
          <w:numId w:val="1"/>
        </w:numPr>
        <w:pBdr>
          <w:top w:val="nil"/>
          <w:left w:val="nil"/>
          <w:bottom w:val="nil"/>
          <w:right w:val="nil"/>
          <w:between w:val="nil"/>
        </w:pBdr>
        <w:spacing w:after="0"/>
        <w:ind w:left="0"/>
        <w:rPr>
          <w:rFonts w:asciiTheme="minorHAnsi" w:hAnsiTheme="minorHAnsi" w:cstheme="minorHAnsi"/>
          <w:b/>
          <w:color w:val="000000"/>
        </w:rPr>
      </w:pPr>
      <w:r>
        <w:rPr>
          <w:rFonts w:asciiTheme="minorHAnsi" w:hAnsiTheme="minorHAnsi" w:cstheme="minorHAnsi"/>
          <w:b/>
          <w:color w:val="000000"/>
        </w:rPr>
        <w:t xml:space="preserve">Estructura preliminar del informe: </w:t>
      </w:r>
    </w:p>
    <w:p>
      <w:pPr>
        <w:pBdr>
          <w:top w:val="nil"/>
          <w:left w:val="nil"/>
          <w:bottom w:val="nil"/>
          <w:right w:val="nil"/>
          <w:between w:val="nil"/>
        </w:pBdr>
        <w:spacing w:after="0"/>
        <w:ind w:left="567" w:hanging="375"/>
        <w:rPr>
          <w:rFonts w:asciiTheme="minorHAnsi" w:eastAsia="Times New Roman" w:hAnsiTheme="minorHAnsi" w:cstheme="minorHAnsi"/>
          <w:b/>
          <w:color w:val="000000"/>
        </w:rPr>
      </w:pPr>
    </w:p>
    <w:p>
      <w:pPr>
        <w:pBdr>
          <w:top w:val="nil"/>
          <w:left w:val="nil"/>
          <w:bottom w:val="nil"/>
          <w:right w:val="nil"/>
          <w:between w:val="nil"/>
        </w:pBdr>
        <w:spacing w:after="0"/>
        <w:ind w:left="0" w:firstLine="0"/>
        <w:rPr>
          <w:rFonts w:asciiTheme="minorHAnsi" w:hAnsiTheme="minorHAnsi" w:cstheme="minorHAnsi"/>
          <w:color w:val="000000"/>
        </w:rPr>
      </w:pPr>
    </w:p>
    <w:p>
      <w:pPr>
        <w:numPr>
          <w:ilvl w:val="0"/>
          <w:numId w:val="2"/>
        </w:numPr>
        <w:pBdr>
          <w:top w:val="nil"/>
          <w:left w:val="nil"/>
          <w:bottom w:val="nil"/>
          <w:right w:val="nil"/>
          <w:between w:val="nil"/>
        </w:pBdr>
        <w:spacing w:after="0"/>
        <w:rPr>
          <w:rFonts w:asciiTheme="minorHAnsi" w:hAnsiTheme="minorHAnsi" w:cstheme="minorHAnsi"/>
        </w:rPr>
      </w:pPr>
      <w:r>
        <w:rPr>
          <w:rFonts w:asciiTheme="minorHAnsi" w:hAnsiTheme="minorHAnsi" w:cstheme="minorHAnsi"/>
        </w:rPr>
        <w:t>I</w:t>
      </w:r>
      <w:r>
        <w:rPr>
          <w:rFonts w:asciiTheme="minorHAnsi" w:hAnsiTheme="minorHAnsi" w:cstheme="minorHAnsi"/>
          <w:color w:val="000000"/>
        </w:rPr>
        <w:t xml:space="preserve">ntroducción (con la descripción de la problemática, el objetivo del documento institucional y la metodología utilizada). </w:t>
      </w:r>
    </w:p>
    <w:p>
      <w:pPr>
        <w:numPr>
          <w:ilvl w:val="0"/>
          <w:numId w:val="2"/>
        </w:numPr>
        <w:pBdr>
          <w:top w:val="nil"/>
          <w:left w:val="nil"/>
          <w:bottom w:val="nil"/>
          <w:right w:val="nil"/>
          <w:between w:val="nil"/>
        </w:pBdr>
        <w:spacing w:after="0"/>
        <w:rPr>
          <w:rFonts w:asciiTheme="minorHAnsi" w:hAnsiTheme="minorHAnsi" w:cstheme="minorHAnsi"/>
        </w:rPr>
      </w:pPr>
      <w:r>
        <w:rPr>
          <w:rFonts w:asciiTheme="minorHAnsi" w:hAnsiTheme="minorHAnsi" w:cstheme="minorHAnsi"/>
        </w:rPr>
        <w:t>Marco teórico (</w:t>
      </w:r>
      <w:r>
        <w:rPr>
          <w:rFonts w:asciiTheme="minorHAnsi" w:hAnsiTheme="minorHAnsi" w:cstheme="minorHAnsi"/>
          <w:color w:val="000000"/>
        </w:rPr>
        <w:t xml:space="preserve">estado de la cuestión, análisis normativo). </w:t>
      </w:r>
    </w:p>
    <w:p>
      <w:pPr>
        <w:numPr>
          <w:ilvl w:val="0"/>
          <w:numId w:val="2"/>
        </w:numPr>
        <w:pBdr>
          <w:top w:val="nil"/>
          <w:left w:val="nil"/>
          <w:bottom w:val="nil"/>
          <w:right w:val="nil"/>
          <w:between w:val="nil"/>
        </w:pBdr>
        <w:spacing w:after="0"/>
        <w:rPr>
          <w:rFonts w:asciiTheme="minorHAnsi" w:hAnsiTheme="minorHAnsi" w:cstheme="minorHAnsi"/>
        </w:rPr>
      </w:pPr>
      <w:r>
        <w:rPr>
          <w:rFonts w:asciiTheme="minorHAnsi" w:hAnsiTheme="minorHAnsi" w:cstheme="minorHAnsi"/>
        </w:rPr>
        <w:t>Presentación y análisis de los resultados obtenidos.</w:t>
      </w:r>
    </w:p>
    <w:p>
      <w:pPr>
        <w:numPr>
          <w:ilvl w:val="0"/>
          <w:numId w:val="2"/>
        </w:numPr>
        <w:pBdr>
          <w:top w:val="nil"/>
          <w:left w:val="nil"/>
          <w:bottom w:val="nil"/>
          <w:right w:val="nil"/>
          <w:between w:val="nil"/>
        </w:pBdr>
        <w:spacing w:after="0"/>
        <w:rPr>
          <w:rFonts w:asciiTheme="minorHAnsi" w:hAnsiTheme="minorHAnsi" w:cstheme="minorHAnsi"/>
        </w:rPr>
      </w:pPr>
      <w:r>
        <w:rPr>
          <w:rFonts w:asciiTheme="minorHAnsi" w:hAnsiTheme="minorHAnsi" w:cstheme="minorHAnsi"/>
        </w:rPr>
        <w:t>Casos emblemáticos.</w:t>
      </w:r>
      <w:bookmarkStart w:id="1" w:name="_GoBack"/>
      <w:bookmarkEnd w:id="1"/>
    </w:p>
    <w:p>
      <w:pPr>
        <w:numPr>
          <w:ilvl w:val="0"/>
          <w:numId w:val="2"/>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 xml:space="preserve">Conclusiones (ideas de cierre de la investigación o análisis que contiene una síntesis de los argumentos principales y hallazgos). </w:t>
      </w:r>
    </w:p>
    <w:p>
      <w:pPr>
        <w:numPr>
          <w:ilvl w:val="0"/>
          <w:numId w:val="2"/>
        </w:numPr>
        <w:pBdr>
          <w:top w:val="nil"/>
          <w:left w:val="nil"/>
          <w:bottom w:val="nil"/>
          <w:right w:val="nil"/>
          <w:between w:val="nil"/>
        </w:pBdr>
        <w:spacing w:after="0"/>
        <w:rPr>
          <w:rFonts w:asciiTheme="minorHAnsi" w:hAnsiTheme="minorHAnsi" w:cstheme="minorHAnsi"/>
          <w:color w:val="000000"/>
        </w:rPr>
      </w:pPr>
      <w:r>
        <w:rPr>
          <w:rFonts w:asciiTheme="minorHAnsi" w:hAnsiTheme="minorHAnsi" w:cstheme="minorHAnsi"/>
          <w:color w:val="000000"/>
        </w:rPr>
        <w:t>Recomendaciones, propuestas constructivas (concretas, viables, verificables y susceptibles de medir su grado de cumplimiento) dirigidas a una o más entidades.</w:t>
      </w:r>
    </w:p>
    <w:p>
      <w:pPr>
        <w:pBdr>
          <w:top w:val="nil"/>
          <w:left w:val="nil"/>
          <w:bottom w:val="nil"/>
          <w:right w:val="nil"/>
          <w:between w:val="nil"/>
        </w:pBdr>
        <w:spacing w:after="0"/>
        <w:ind w:left="0" w:firstLine="0"/>
        <w:rPr>
          <w:rFonts w:asciiTheme="minorHAnsi" w:hAnsiTheme="minorHAnsi" w:cstheme="minorHAnsi"/>
          <w:color w:val="000000"/>
        </w:rPr>
      </w:pPr>
    </w:p>
    <w:sectPr>
      <w:pgSz w:w="11906" w:h="16838"/>
      <w:pgMar w:top="1417" w:right="1701" w:bottom="1134" w:left="1701"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separator/>
      </w:r>
    </w:p>
  </w:endnote>
  <w:endnote w:type="continuationSeparator" w:id="0">
    <w:p>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Montserrat">
    <w:altName w:val="Montserrat"/>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separator/>
      </w:r>
    </w:p>
  </w:footnote>
  <w:footnote w:type="continuationSeparator" w:id="0">
    <w:p>
      <w:pPr>
        <w:spacing w:after="0" w:line="240" w:lineRule="auto"/>
      </w:pPr>
      <w:r>
        <w:continuationSeparator/>
      </w:r>
    </w:p>
  </w:footnote>
  <w:footnote w:id="1">
    <w:p>
      <w:pPr>
        <w:pStyle w:val="Textonotapie"/>
      </w:pPr>
      <w:r>
        <w:rPr>
          <w:rStyle w:val="Refdenotaalpie"/>
        </w:rPr>
        <w:footnoteRef/>
      </w:r>
      <w:r>
        <w:t xml:space="preserve"> En: </w:t>
      </w:r>
      <w:hyperlink r:id="rId1" w:history="1">
        <w:r>
          <w:rPr>
            <w:rStyle w:val="Hipervnculo"/>
          </w:rPr>
          <w:t>https://desaparecidosenperu.policia.gob.pe/Desaparecidos/reniped</w:t>
        </w:r>
      </w:hyperlink>
      <w:r>
        <w:t xml:space="preserve"> Consulta: 18 de marzo de 2026.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A0147B"/>
    <w:multiLevelType w:val="multilevel"/>
    <w:tmpl w:val="BFFCD21A"/>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nsid w:val="1EE45053"/>
    <w:multiLevelType w:val="hybridMultilevel"/>
    <w:tmpl w:val="70AE5D4A"/>
    <w:lvl w:ilvl="0" w:tplc="280A0001">
      <w:start w:val="1"/>
      <w:numFmt w:val="bullet"/>
      <w:lvlText w:val=""/>
      <w:lvlJc w:val="left"/>
      <w:pPr>
        <w:ind w:left="1065" w:hanging="360"/>
      </w:pPr>
      <w:rPr>
        <w:rFonts w:ascii="Symbol" w:hAnsi="Symbol" w:hint="default"/>
      </w:rPr>
    </w:lvl>
    <w:lvl w:ilvl="1" w:tplc="280A0003" w:tentative="1">
      <w:start w:val="1"/>
      <w:numFmt w:val="bullet"/>
      <w:lvlText w:val="o"/>
      <w:lvlJc w:val="left"/>
      <w:pPr>
        <w:ind w:left="1785" w:hanging="360"/>
      </w:pPr>
      <w:rPr>
        <w:rFonts w:ascii="Courier New" w:hAnsi="Courier New" w:cs="Courier New" w:hint="default"/>
      </w:rPr>
    </w:lvl>
    <w:lvl w:ilvl="2" w:tplc="280A0005" w:tentative="1">
      <w:start w:val="1"/>
      <w:numFmt w:val="bullet"/>
      <w:lvlText w:val=""/>
      <w:lvlJc w:val="left"/>
      <w:pPr>
        <w:ind w:left="2505" w:hanging="360"/>
      </w:pPr>
      <w:rPr>
        <w:rFonts w:ascii="Wingdings" w:hAnsi="Wingdings" w:hint="default"/>
      </w:rPr>
    </w:lvl>
    <w:lvl w:ilvl="3" w:tplc="280A0001" w:tentative="1">
      <w:start w:val="1"/>
      <w:numFmt w:val="bullet"/>
      <w:lvlText w:val=""/>
      <w:lvlJc w:val="left"/>
      <w:pPr>
        <w:ind w:left="3225" w:hanging="360"/>
      </w:pPr>
      <w:rPr>
        <w:rFonts w:ascii="Symbol" w:hAnsi="Symbol" w:hint="default"/>
      </w:rPr>
    </w:lvl>
    <w:lvl w:ilvl="4" w:tplc="280A0003" w:tentative="1">
      <w:start w:val="1"/>
      <w:numFmt w:val="bullet"/>
      <w:lvlText w:val="o"/>
      <w:lvlJc w:val="left"/>
      <w:pPr>
        <w:ind w:left="3945" w:hanging="360"/>
      </w:pPr>
      <w:rPr>
        <w:rFonts w:ascii="Courier New" w:hAnsi="Courier New" w:cs="Courier New" w:hint="default"/>
      </w:rPr>
    </w:lvl>
    <w:lvl w:ilvl="5" w:tplc="280A0005" w:tentative="1">
      <w:start w:val="1"/>
      <w:numFmt w:val="bullet"/>
      <w:lvlText w:val=""/>
      <w:lvlJc w:val="left"/>
      <w:pPr>
        <w:ind w:left="4665" w:hanging="360"/>
      </w:pPr>
      <w:rPr>
        <w:rFonts w:ascii="Wingdings" w:hAnsi="Wingdings" w:hint="default"/>
      </w:rPr>
    </w:lvl>
    <w:lvl w:ilvl="6" w:tplc="280A0001" w:tentative="1">
      <w:start w:val="1"/>
      <w:numFmt w:val="bullet"/>
      <w:lvlText w:val=""/>
      <w:lvlJc w:val="left"/>
      <w:pPr>
        <w:ind w:left="5385" w:hanging="360"/>
      </w:pPr>
      <w:rPr>
        <w:rFonts w:ascii="Symbol" w:hAnsi="Symbol" w:hint="default"/>
      </w:rPr>
    </w:lvl>
    <w:lvl w:ilvl="7" w:tplc="280A0003" w:tentative="1">
      <w:start w:val="1"/>
      <w:numFmt w:val="bullet"/>
      <w:lvlText w:val="o"/>
      <w:lvlJc w:val="left"/>
      <w:pPr>
        <w:ind w:left="6105" w:hanging="360"/>
      </w:pPr>
      <w:rPr>
        <w:rFonts w:ascii="Courier New" w:hAnsi="Courier New" w:cs="Courier New" w:hint="default"/>
      </w:rPr>
    </w:lvl>
    <w:lvl w:ilvl="8" w:tplc="280A0005" w:tentative="1">
      <w:start w:val="1"/>
      <w:numFmt w:val="bullet"/>
      <w:lvlText w:val=""/>
      <w:lvlJc w:val="left"/>
      <w:pPr>
        <w:ind w:left="6825" w:hanging="360"/>
      </w:pPr>
      <w:rPr>
        <w:rFonts w:ascii="Wingdings" w:hAnsi="Wingdings" w:hint="default"/>
      </w:rPr>
    </w:lvl>
  </w:abstractNum>
  <w:abstractNum w:abstractNumId="2">
    <w:nsid w:val="248C5998"/>
    <w:multiLevelType w:val="multilevel"/>
    <w:tmpl w:val="EBF4A784"/>
    <w:lvl w:ilvl="0">
      <w:start w:val="1"/>
      <w:numFmt w:val="decimal"/>
      <w:lvlText w:val="%1."/>
      <w:lvlJc w:val="left"/>
      <w:pPr>
        <w:ind w:left="705" w:hanging="360"/>
      </w:pPr>
      <w:rPr>
        <w:rFonts w:ascii="Times New Roman" w:eastAsia="Times New Roman" w:hAnsi="Times New Roman" w:cs="Times New Roman"/>
        <w:b/>
        <w:sz w:val="24"/>
        <w:szCs w:val="24"/>
      </w:rPr>
    </w:lvl>
    <w:lvl w:ilvl="1">
      <w:start w:val="1"/>
      <w:numFmt w:val="lowerLetter"/>
      <w:lvlText w:val="%2."/>
      <w:lvlJc w:val="left"/>
      <w:pPr>
        <w:ind w:left="1425" w:hanging="360"/>
      </w:pPr>
    </w:lvl>
    <w:lvl w:ilvl="2">
      <w:start w:val="1"/>
      <w:numFmt w:val="lowerRoman"/>
      <w:lvlText w:val="%3."/>
      <w:lvlJc w:val="right"/>
      <w:pPr>
        <w:ind w:left="2145" w:hanging="180"/>
      </w:pPr>
    </w:lvl>
    <w:lvl w:ilvl="3">
      <w:start w:val="1"/>
      <w:numFmt w:val="decimal"/>
      <w:lvlText w:val="%4."/>
      <w:lvlJc w:val="left"/>
      <w:pPr>
        <w:ind w:left="2865" w:hanging="360"/>
      </w:pPr>
    </w:lvl>
    <w:lvl w:ilvl="4">
      <w:start w:val="1"/>
      <w:numFmt w:val="lowerLetter"/>
      <w:lvlText w:val="%5."/>
      <w:lvlJc w:val="left"/>
      <w:pPr>
        <w:ind w:left="3585" w:hanging="360"/>
      </w:pPr>
    </w:lvl>
    <w:lvl w:ilvl="5">
      <w:start w:val="1"/>
      <w:numFmt w:val="lowerRoman"/>
      <w:lvlText w:val="%6."/>
      <w:lvlJc w:val="right"/>
      <w:pPr>
        <w:ind w:left="4305" w:hanging="180"/>
      </w:pPr>
    </w:lvl>
    <w:lvl w:ilvl="6">
      <w:start w:val="1"/>
      <w:numFmt w:val="decimal"/>
      <w:lvlText w:val="%7."/>
      <w:lvlJc w:val="left"/>
      <w:pPr>
        <w:ind w:left="5025" w:hanging="360"/>
      </w:pPr>
    </w:lvl>
    <w:lvl w:ilvl="7">
      <w:start w:val="1"/>
      <w:numFmt w:val="lowerLetter"/>
      <w:lvlText w:val="%8."/>
      <w:lvlJc w:val="left"/>
      <w:pPr>
        <w:ind w:left="5745" w:hanging="360"/>
      </w:pPr>
    </w:lvl>
    <w:lvl w:ilvl="8">
      <w:start w:val="1"/>
      <w:numFmt w:val="lowerRoman"/>
      <w:lvlText w:val="%9."/>
      <w:lvlJc w:val="right"/>
      <w:pPr>
        <w:ind w:left="6465" w:hanging="180"/>
      </w:pPr>
    </w:lvl>
  </w:abstractNum>
  <w:abstractNum w:abstractNumId="3">
    <w:nsid w:val="3B377057"/>
    <w:multiLevelType w:val="hybridMultilevel"/>
    <w:tmpl w:val="1D50F272"/>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nsid w:val="5D43B285"/>
    <w:multiLevelType w:val="hybridMultilevel"/>
    <w:tmpl w:val="6B31BC5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C8659C-FA64-4826-8EF6-0BFF07B97A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s-PE" w:eastAsia="es-PE" w:bidi="ar-SA"/>
      </w:rPr>
    </w:rPrDefault>
    <w:pPrDefault>
      <w:pPr>
        <w:spacing w:after="218" w:line="271" w:lineRule="auto"/>
        <w:ind w:left="355" w:hanging="1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paragraph" w:styleId="Prrafodelista">
    <w:name w:val="List Paragraph"/>
    <w:basedOn w:val="Normal"/>
    <w:uiPriority w:val="34"/>
    <w:qFormat/>
    <w:pPr>
      <w:ind w:left="720"/>
      <w:contextualSpacing/>
    </w:pPr>
  </w:style>
  <w:style w:type="paragraph" w:styleId="Textonotapie">
    <w:name w:val="footnote text"/>
    <w:basedOn w:val="Normal"/>
    <w:link w:val="TextonotapieCar"/>
    <w:uiPriority w:val="99"/>
    <w:semiHidden/>
    <w:unhideWhenUsed/>
    <w:pPr>
      <w:spacing w:after="0" w:line="240" w:lineRule="auto"/>
    </w:pPr>
    <w:rPr>
      <w:sz w:val="20"/>
      <w:szCs w:val="20"/>
    </w:rPr>
  </w:style>
  <w:style w:type="character" w:customStyle="1" w:styleId="TextonotapieCar">
    <w:name w:val="Texto nota pie Car"/>
    <w:basedOn w:val="Fuentedeprrafopredeter"/>
    <w:link w:val="Textonotapie"/>
    <w:uiPriority w:val="99"/>
    <w:semiHidden/>
    <w:rPr>
      <w:rFonts w:ascii="Calibri" w:eastAsia="Calibri" w:hAnsi="Calibri" w:cs="Calibri"/>
      <w:sz w:val="20"/>
      <w:szCs w:val="20"/>
      <w:lang w:eastAsia="es-PE"/>
    </w:rPr>
  </w:style>
  <w:style w:type="character" w:styleId="Refdenotaalpie">
    <w:name w:val="footnote reference"/>
    <w:basedOn w:val="Fuentedeprrafopredeter"/>
    <w:uiPriority w:val="99"/>
    <w:semiHidden/>
    <w:unhideWhenUsed/>
    <w:rPr>
      <w:vertAlign w:val="superscript"/>
    </w:rPr>
  </w:style>
  <w:style w:type="character" w:styleId="Hipervnculo">
    <w:name w:val="Hyperlink"/>
    <w:basedOn w:val="Fuentedeprrafopredeter"/>
    <w:uiPriority w:val="99"/>
    <w:unhideWhenUsed/>
    <w:rPr>
      <w:color w:val="0563C1" w:themeColor="hyperlink"/>
      <w:u w:val="single"/>
    </w:rPr>
  </w:style>
  <w:style w:type="table" w:styleId="Tabladecuadrcula2-nfasis1">
    <w:name w:val="Grid Table 2 Accent 1"/>
    <w:basedOn w:val="Tablanormal"/>
    <w:uiPriority w:val="47"/>
    <w:pPr>
      <w:spacing w:after="0" w:line="240" w:lineRule="auto"/>
    </w:pPr>
    <w:tblPr>
      <w:tblStyleRowBandSize w:val="1"/>
      <w:tblStyleColBandSize w:val="1"/>
      <w:tblInd w:w="0" w:type="dxa"/>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CellMar>
        <w:top w:w="0" w:type="dxa"/>
        <w:left w:w="108" w:type="dxa"/>
        <w:bottom w:w="0" w:type="dxa"/>
        <w:right w:w="108" w:type="dxa"/>
      </w:tblCellMar>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Textodeglobo">
    <w:name w:val="Balloon Text"/>
    <w:basedOn w:val="Normal"/>
    <w:link w:val="TextodegloboCar"/>
    <w:uiPriority w:val="99"/>
    <w:semiHidden/>
    <w:unhideWhenUse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Pr>
      <w:rFonts w:ascii="Segoe UI" w:eastAsia="Calibri" w:hAnsi="Segoe UI" w:cs="Segoe UI"/>
      <w:sz w:val="18"/>
      <w:szCs w:val="18"/>
      <w:lang w:eastAsia="es-P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top w:w="0" w:type="dxa"/>
        <w:left w:w="108" w:type="dxa"/>
        <w:bottom w:w="0" w:type="dxa"/>
        <w:right w:w="108" w:type="dxa"/>
      </w:tblCellMar>
    </w:tblPr>
    <w:tblStylePr w:type="firstRow">
      <w:rPr>
        <w:b/>
      </w:rPr>
      <w:tblPr/>
      <w:tcPr>
        <w:tcBorders>
          <w:top w:val="nil"/>
          <w:bottom w:val="single" w:sz="12" w:space="0" w:color="9CC3E5"/>
          <w:insideH w:val="nil"/>
          <w:insideV w:val="nil"/>
        </w:tcBorders>
        <w:shd w:val="clear" w:color="auto" w:fill="FFFFFF"/>
      </w:tcPr>
    </w:tblStylePr>
    <w:tblStylePr w:type="lastRow">
      <w:rPr>
        <w:b/>
      </w:rPr>
      <w:tblPr/>
      <w:tcPr>
        <w:tcBorders>
          <w:top w:val="single" w:sz="4" w:space="0" w:color="9CC3E5"/>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paragraph" w:customStyle="1" w:styleId="Default">
    <w:name w:val="Default"/>
    <w:pPr>
      <w:autoSpaceDE w:val="0"/>
      <w:autoSpaceDN w:val="0"/>
      <w:adjustRightInd w:val="0"/>
      <w:spacing w:after="0" w:line="240" w:lineRule="auto"/>
      <w:ind w:left="0" w:firstLine="0"/>
      <w:jc w:val="left"/>
    </w:pPr>
    <w:rPr>
      <w:rFonts w:ascii="Montserrat" w:hAnsi="Montserrat" w:cs="Montserrat"/>
      <w:color w:val="000000"/>
      <w:sz w:val="24"/>
      <w:szCs w:val="24"/>
    </w:rPr>
  </w:style>
  <w:style w:type="paragraph" w:customStyle="1" w:styleId="Pa7">
    <w:name w:val="Pa7"/>
    <w:basedOn w:val="Default"/>
    <w:next w:val="Default"/>
    <w:uiPriority w:val="99"/>
    <w:pPr>
      <w:spacing w:line="221" w:lineRule="atLeast"/>
    </w:pPr>
    <w:rPr>
      <w:rFonts w:cs="Calibri"/>
      <w:color w:val="auto"/>
    </w:rPr>
  </w:style>
  <w:style w:type="character" w:customStyle="1" w:styleId="A5">
    <w:name w:val="A5"/>
    <w:uiPriority w:val="99"/>
    <w:rPr>
      <w:rFonts w:cs="Montserrat"/>
      <w:color w:val="000000"/>
      <w:sz w:val="12"/>
      <w:szCs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desaparecidosenperu.policia.gob.pe/Desaparecidos/reniped"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7V6P0hHSbH4eZ6B7at7vtf+4S+Q==">CgMxLjAyCGguZ2pkZ3hzMgloLjMwajB6bGwyCWguMWZvYjl0ZTgAciExaWw4ZnB1SzlyZW1TYzNSZy1hcXlUZkZyWVkyZ1pSZUQ=</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E3C3A38B-571B-4FDE-BA62-E42A2C42E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486</TotalTime>
  <Pages>2</Pages>
  <Words>1358</Words>
  <Characters>7475</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Paulo Cesar Palomino Acuña</dc:creator>
  <cp:lastModifiedBy>Patricia Veronica Sarmiento Rissi</cp:lastModifiedBy>
  <cp:revision>4</cp:revision>
  <dcterms:created xsi:type="dcterms:W3CDTF">2026-03-17T22:28:00Z</dcterms:created>
  <dcterms:modified xsi:type="dcterms:W3CDTF">2026-03-18T22:08:00Z</dcterms:modified>
</cp:coreProperties>
</file>